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40922" w14:textId="4882AF36" w:rsidR="00A24F61" w:rsidRDefault="00A24F61" w:rsidP="00A24F61">
      <w:pPr>
        <w:jc w:val="center"/>
        <w:rPr>
          <w:rFonts w:ascii="Arial" w:hAnsi="Arial" w:cs="Arial"/>
          <w:b/>
          <w:bCs/>
          <w:color w:val="000000"/>
          <w:sz w:val="20"/>
          <w:szCs w:val="20"/>
        </w:rPr>
      </w:pPr>
      <w:bookmarkStart w:id="0" w:name="_Hlk94637460"/>
      <w:r w:rsidRPr="00A24F61">
        <w:rPr>
          <w:rFonts w:ascii="Arial" w:hAnsi="Arial" w:cs="Arial"/>
          <w:b/>
          <w:bCs/>
          <w:color w:val="000000"/>
          <w:sz w:val="20"/>
          <w:szCs w:val="20"/>
        </w:rPr>
        <w:t xml:space="preserve">Inclusive Growth </w:t>
      </w:r>
      <w:proofErr w:type="spellStart"/>
      <w:r w:rsidRPr="00A24F61">
        <w:rPr>
          <w:rFonts w:ascii="Arial" w:hAnsi="Arial" w:cs="Arial"/>
          <w:b/>
          <w:bCs/>
          <w:color w:val="000000"/>
          <w:sz w:val="20"/>
          <w:szCs w:val="20"/>
        </w:rPr>
        <w:t>Thro</w:t>
      </w:r>
      <w:proofErr w:type="spellEnd"/>
      <w:r w:rsidRPr="00A24F61">
        <w:rPr>
          <w:rFonts w:ascii="Arial" w:hAnsi="Arial" w:cs="Arial"/>
          <w:b/>
          <w:bCs/>
          <w:color w:val="000000"/>
          <w:sz w:val="20"/>
          <w:szCs w:val="20"/>
        </w:rPr>
        <w:t>’ Business Facilitator/ Business Correspondents</w:t>
      </w:r>
    </w:p>
    <w:p w14:paraId="5888940A" w14:textId="0AA43348" w:rsidR="00A24F61" w:rsidRDefault="00A24F61" w:rsidP="00A24F61">
      <w:pPr>
        <w:jc w:val="cente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A24F61" w14:paraId="1E61CC76" w14:textId="77777777" w:rsidTr="00A24F61">
        <w:tc>
          <w:tcPr>
            <w:tcW w:w="846" w:type="dxa"/>
          </w:tcPr>
          <w:p w14:paraId="19E58966" w14:textId="2E27AAC8" w:rsidR="00A24F61" w:rsidRPr="00A24F61" w:rsidRDefault="00A24F61" w:rsidP="00A24F61">
            <w:pPr>
              <w:jc w:val="center"/>
              <w:rPr>
                <w:rFonts w:ascii="Arial" w:hAnsi="Arial" w:cs="Arial"/>
                <w:b/>
                <w:bCs/>
                <w:color w:val="000000"/>
                <w:sz w:val="18"/>
                <w:szCs w:val="18"/>
              </w:rPr>
            </w:pPr>
            <w:proofErr w:type="spellStart"/>
            <w:r w:rsidRPr="00A24F61">
              <w:rPr>
                <w:rFonts w:ascii="Arial" w:hAnsi="Arial" w:cs="Arial"/>
                <w:b/>
                <w:bCs/>
                <w:color w:val="000000"/>
                <w:sz w:val="18"/>
                <w:szCs w:val="18"/>
              </w:rPr>
              <w:t>Sr.No</w:t>
            </w:r>
            <w:proofErr w:type="spellEnd"/>
            <w:r w:rsidRPr="00A24F61">
              <w:rPr>
                <w:rFonts w:ascii="Arial" w:hAnsi="Arial" w:cs="Arial"/>
                <w:b/>
                <w:bCs/>
                <w:color w:val="000000"/>
                <w:sz w:val="18"/>
                <w:szCs w:val="18"/>
              </w:rPr>
              <w:t>.</w:t>
            </w:r>
          </w:p>
        </w:tc>
        <w:tc>
          <w:tcPr>
            <w:tcW w:w="8170" w:type="dxa"/>
          </w:tcPr>
          <w:p w14:paraId="15D4C3A2" w14:textId="62E3153B" w:rsidR="00A24F61" w:rsidRPr="00A24F61" w:rsidRDefault="00A24F61" w:rsidP="00A24F61">
            <w:pPr>
              <w:jc w:val="center"/>
              <w:rPr>
                <w:rFonts w:ascii="Arial" w:hAnsi="Arial" w:cs="Arial"/>
                <w:b/>
                <w:bCs/>
                <w:color w:val="000000"/>
                <w:sz w:val="18"/>
                <w:szCs w:val="18"/>
              </w:rPr>
            </w:pPr>
            <w:r w:rsidRPr="00A24F61">
              <w:rPr>
                <w:rFonts w:ascii="Arial" w:hAnsi="Arial" w:cs="Arial"/>
                <w:b/>
                <w:bCs/>
                <w:color w:val="000000"/>
                <w:sz w:val="18"/>
                <w:szCs w:val="18"/>
              </w:rPr>
              <w:t>RBI notifications</w:t>
            </w:r>
          </w:p>
        </w:tc>
      </w:tr>
      <w:tr w:rsidR="00A24F61" w14:paraId="7B7B950F" w14:textId="77777777" w:rsidTr="00FA0B73">
        <w:tc>
          <w:tcPr>
            <w:tcW w:w="846" w:type="dxa"/>
          </w:tcPr>
          <w:p w14:paraId="28ED7D98" w14:textId="42CF78EC" w:rsidR="00A24F61" w:rsidRPr="00A24F61" w:rsidRDefault="00A24F61" w:rsidP="00A24F61">
            <w:pPr>
              <w:jc w:val="center"/>
              <w:rPr>
                <w:rFonts w:cstheme="minorHAnsi"/>
                <w:bCs/>
                <w:color w:val="000000"/>
                <w:sz w:val="20"/>
                <w:szCs w:val="20"/>
              </w:rPr>
            </w:pPr>
            <w:r w:rsidRPr="00A24F61">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14:paraId="39F808EF" w14:textId="73EA2620" w:rsidR="00A24F61" w:rsidRDefault="00A24F61" w:rsidP="00A24F61">
            <w:pPr>
              <w:rPr>
                <w:rFonts w:ascii="Arial" w:hAnsi="Arial" w:cs="Arial"/>
                <w:b/>
                <w:bCs/>
                <w:color w:val="000000"/>
                <w:sz w:val="20"/>
                <w:szCs w:val="20"/>
              </w:rPr>
            </w:pPr>
            <w:r>
              <w:rPr>
                <w:rFonts w:ascii="Calibri" w:hAnsi="Calibri" w:cs="Calibri"/>
                <w:sz w:val="20"/>
                <w:szCs w:val="20"/>
              </w:rPr>
              <w:t>Section 24 of the Banking Regulation Act, 1949 – Maintenance of Statutory Liquidity Ratio (SLR) – Marginal Standing Facility (MSF) - Extension of Relaxation</w:t>
            </w:r>
          </w:p>
        </w:tc>
      </w:tr>
      <w:tr w:rsidR="00A24F61" w14:paraId="0DD9AF27" w14:textId="77777777" w:rsidTr="00FA0B73">
        <w:tc>
          <w:tcPr>
            <w:tcW w:w="846" w:type="dxa"/>
          </w:tcPr>
          <w:p w14:paraId="4F12514A" w14:textId="2C5ECD67" w:rsidR="00A24F61" w:rsidRPr="00A24F61" w:rsidRDefault="00A24F61" w:rsidP="00A24F61">
            <w:pPr>
              <w:jc w:val="center"/>
              <w:rPr>
                <w:rFonts w:cstheme="minorHAnsi"/>
                <w:bCs/>
                <w:color w:val="000000"/>
                <w:sz w:val="20"/>
                <w:szCs w:val="20"/>
              </w:rPr>
            </w:pPr>
            <w:r w:rsidRPr="00A24F61">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14:paraId="0CC57301" w14:textId="78C57D6D" w:rsidR="00A24F61" w:rsidRDefault="00A24F61" w:rsidP="00A24F61">
            <w:pPr>
              <w:rPr>
                <w:rFonts w:ascii="Arial" w:hAnsi="Arial" w:cs="Arial"/>
                <w:b/>
                <w:bCs/>
                <w:color w:val="000000"/>
                <w:sz w:val="20"/>
                <w:szCs w:val="20"/>
              </w:rPr>
            </w:pPr>
            <w:r>
              <w:rPr>
                <w:rFonts w:ascii="Calibri" w:hAnsi="Calibri" w:cs="Calibri"/>
                <w:sz w:val="20"/>
                <w:szCs w:val="20"/>
              </w:rPr>
              <w:t>Master Direction - Reserve Bank of India [Cash Reserve Ratio (CRR) and Statutory Liquidity Ratio (SLR)] Directions – 2021</w:t>
            </w:r>
          </w:p>
        </w:tc>
      </w:tr>
    </w:tbl>
    <w:p w14:paraId="584FF6FE" w14:textId="77777777" w:rsidR="00A24F61" w:rsidRDefault="00A24F61" w:rsidP="00A24F61">
      <w:pPr>
        <w:rPr>
          <w:rFonts w:ascii="Arial" w:hAnsi="Arial" w:cs="Arial"/>
          <w:b/>
          <w:bCs/>
          <w:color w:val="000000"/>
          <w:sz w:val="20"/>
          <w:szCs w:val="20"/>
        </w:rPr>
      </w:pPr>
    </w:p>
    <w:p w14:paraId="1B4B7126" w14:textId="77777777" w:rsidR="00A24F61" w:rsidRDefault="00A24F61" w:rsidP="00F56881">
      <w:pPr>
        <w:rPr>
          <w:rFonts w:ascii="Arial" w:hAnsi="Arial" w:cs="Arial"/>
          <w:b/>
          <w:bCs/>
          <w:color w:val="000000"/>
          <w:sz w:val="20"/>
          <w:szCs w:val="20"/>
        </w:rPr>
      </w:pPr>
    </w:p>
    <w:p w14:paraId="729CC0DB" w14:textId="462F2FD9" w:rsidR="00F56881" w:rsidRDefault="00F56881" w:rsidP="00F56881">
      <w:pPr>
        <w:rPr>
          <w:rFonts w:ascii="Arial" w:hAnsi="Arial" w:cs="Arial"/>
          <w:b/>
          <w:bCs/>
          <w:color w:val="000000"/>
          <w:sz w:val="20"/>
          <w:szCs w:val="20"/>
        </w:rPr>
      </w:pPr>
      <w:r>
        <w:rPr>
          <w:rFonts w:ascii="Arial" w:hAnsi="Arial" w:cs="Arial"/>
          <w:b/>
          <w:bCs/>
          <w:color w:val="000000"/>
          <w:sz w:val="20"/>
          <w:szCs w:val="20"/>
        </w:rPr>
        <w:t>Section 24 of the Banking Regulation Act, 1949 – Maintenance of Statutory Liquidity Ratio (SLR) – Marginal Standing Facility (MSF) - Extension of Relaxation</w:t>
      </w:r>
    </w:p>
    <w:p w14:paraId="029F7E82" w14:textId="77777777" w:rsidR="00F56881" w:rsidRPr="008F7137" w:rsidRDefault="00F56881" w:rsidP="00F56881">
      <w:r w:rsidRPr="008F7137">
        <w:t>RBI/2021-22/82</w:t>
      </w:r>
      <w:r w:rsidRPr="008F7137">
        <w:br/>
        <w:t>DOR.RET.REC.36/12.01.001/2021-22</w:t>
      </w:r>
    </w:p>
    <w:p w14:paraId="3BC4F8E6" w14:textId="77777777" w:rsidR="00F56881" w:rsidRPr="008F7137" w:rsidRDefault="00F56881" w:rsidP="00F56881">
      <w:r w:rsidRPr="008F7137">
        <w:t>August 09, 2021</w:t>
      </w:r>
    </w:p>
    <w:p w14:paraId="0E8D67D3" w14:textId="77777777" w:rsidR="00F56881" w:rsidRPr="008F7137" w:rsidRDefault="00F56881" w:rsidP="00F56881">
      <w:r w:rsidRPr="008F7137">
        <w:t>All Scheduled Banks</w:t>
      </w:r>
    </w:p>
    <w:p w14:paraId="61D4D315" w14:textId="77777777" w:rsidR="00F56881" w:rsidRPr="008F7137" w:rsidRDefault="00F56881" w:rsidP="00F56881">
      <w:r w:rsidRPr="008F7137">
        <w:t>Madam/Sir</w:t>
      </w:r>
    </w:p>
    <w:p w14:paraId="3CB2A6C5" w14:textId="77777777" w:rsidR="00F56881" w:rsidRPr="008F7137" w:rsidRDefault="00F56881" w:rsidP="00F56881">
      <w:pPr>
        <w:rPr>
          <w:b/>
          <w:bCs/>
        </w:rPr>
      </w:pPr>
      <w:r w:rsidRPr="008F7137">
        <w:rPr>
          <w:b/>
          <w:bCs/>
        </w:rPr>
        <w:t>Section 24 of the Banking Regulation Act, 1949 – Maintenance of Statutory Liquidity</w:t>
      </w:r>
      <w:r w:rsidRPr="008F7137">
        <w:rPr>
          <w:b/>
          <w:bCs/>
        </w:rPr>
        <w:br/>
        <w:t>Ratio (SLR) – Marginal Standing Facility (MSF) - Extension of Relaxation</w:t>
      </w:r>
    </w:p>
    <w:p w14:paraId="2CB49AC0" w14:textId="77777777" w:rsidR="00F56881" w:rsidRPr="008F7137" w:rsidRDefault="00F56881" w:rsidP="00F56881">
      <w:r w:rsidRPr="008F7137">
        <w:t>Please refer to </w:t>
      </w:r>
      <w:hyperlink r:id="rId4" w:tgtFrame="_blank" w:history="1">
        <w:r w:rsidRPr="008F7137">
          <w:rPr>
            <w:rStyle w:val="Hyperlink"/>
          </w:rPr>
          <w:t>circular DOR.No.Ret.BC.36/12.01.001/2020-21 dated February 05, 2021</w:t>
        </w:r>
      </w:hyperlink>
      <w:r w:rsidRPr="008F7137">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September 30, 2021, providing comfort to banks on their liquidity requirements and also to enable them to meet their Liquidity Coverage Ratio (LCR) requirements.</w:t>
      </w:r>
    </w:p>
    <w:p w14:paraId="27A180A8" w14:textId="77777777" w:rsidR="00F56881" w:rsidRPr="008F7137" w:rsidRDefault="00F56881" w:rsidP="00F56881">
      <w:r w:rsidRPr="008F7137">
        <w:t>2. As announced in the </w:t>
      </w:r>
      <w:hyperlink r:id="rId5" w:tgtFrame="_blank" w:history="1">
        <w:r w:rsidRPr="008F7137">
          <w:rPr>
            <w:rStyle w:val="Hyperlink"/>
          </w:rPr>
          <w:t>Statement on Developmental and Regulatory Policies of August 06, 2021</w:t>
        </w:r>
      </w:hyperlink>
      <w:r w:rsidRPr="008F7137">
        <w:t>, with a view to providing comfort to banks on their liquidity requirements, banks are allowed to continue with the MSF relaxation for a further period of three months, i.e., up to December 31, 2021.</w:t>
      </w:r>
    </w:p>
    <w:p w14:paraId="79D17CC0" w14:textId="77777777" w:rsidR="00F56881" w:rsidRPr="008F7137" w:rsidRDefault="00F56881" w:rsidP="00F56881">
      <w:r w:rsidRPr="008F7137">
        <w:t>Yours faithfully</w:t>
      </w:r>
    </w:p>
    <w:p w14:paraId="74ABDC24" w14:textId="77777777" w:rsidR="00F56881" w:rsidRPr="008F7137" w:rsidRDefault="00F56881" w:rsidP="00F56881">
      <w:r w:rsidRPr="008F7137">
        <w:t>(Thomas Mathew)</w:t>
      </w:r>
      <w:r w:rsidRPr="008F7137">
        <w:br/>
        <w:t>Chief General Manager</w:t>
      </w:r>
    </w:p>
    <w:p w14:paraId="00293DCE" w14:textId="77777777" w:rsidR="00F56881" w:rsidRDefault="00F56881" w:rsidP="00F56881">
      <w:r>
        <w:t xml:space="preserve">Reference link: </w:t>
      </w:r>
      <w:hyperlink r:id="rId6" w:history="1">
        <w:r w:rsidRPr="00D972C1">
          <w:rPr>
            <w:rStyle w:val="Hyperlink"/>
          </w:rPr>
          <w:t>https://www.rbi.org.in/Scripts/NotificationUser.aspx?Id=12142&amp;Mode=0</w:t>
        </w:r>
      </w:hyperlink>
    </w:p>
    <w:bookmarkEnd w:id="0"/>
    <w:p w14:paraId="23135D2B" w14:textId="23F0E9A8" w:rsidR="009975ED" w:rsidRDefault="009975ED" w:rsidP="00F56881"/>
    <w:p w14:paraId="6C40A127" w14:textId="3EE5E1D5" w:rsidR="00F56881" w:rsidRDefault="00F56881" w:rsidP="00F56881"/>
    <w:p w14:paraId="141574E2" w14:textId="1631C70A" w:rsidR="00F56881" w:rsidRDefault="00F56881" w:rsidP="00F56881"/>
    <w:p w14:paraId="0EAD824F" w14:textId="316CC29A" w:rsidR="00F56881" w:rsidRDefault="00F56881" w:rsidP="00F56881"/>
    <w:p w14:paraId="347266BD" w14:textId="23DC1D81" w:rsidR="00F56881" w:rsidRDefault="00F56881" w:rsidP="00F56881"/>
    <w:p w14:paraId="4A1EEBAB" w14:textId="51B5340D" w:rsidR="00F56881" w:rsidRDefault="00F56881" w:rsidP="00F56881">
      <w:pPr>
        <w:rPr>
          <w:rFonts w:ascii="Arial" w:hAnsi="Arial" w:cs="Arial"/>
          <w:b/>
          <w:bCs/>
          <w:color w:val="000000"/>
          <w:sz w:val="20"/>
          <w:szCs w:val="20"/>
        </w:rPr>
      </w:pPr>
      <w:bookmarkStart w:id="1" w:name="_GoBack"/>
      <w:bookmarkEnd w:id="1"/>
      <w:r>
        <w:rPr>
          <w:rFonts w:ascii="Arial" w:hAnsi="Arial" w:cs="Arial"/>
          <w:b/>
          <w:bCs/>
          <w:color w:val="000000"/>
          <w:sz w:val="20"/>
          <w:szCs w:val="20"/>
        </w:rPr>
        <w:lastRenderedPageBreak/>
        <w:t>Master Direction - Reserve Bank of India [Cash Reserve Ratio (CRR) and Statutory Liquidity Ratio (SLR)] Directions – 2021</w:t>
      </w:r>
    </w:p>
    <w:p w14:paraId="1F43E660" w14:textId="77777777" w:rsidR="00F56881" w:rsidRPr="005373C0" w:rsidRDefault="00F56881" w:rsidP="00F56881">
      <w:r w:rsidRPr="005373C0">
        <w:t>RBI/DOR/2021-22/80</w:t>
      </w:r>
      <w:r w:rsidRPr="005373C0">
        <w:br/>
        <w:t>DOR.No.RET.REC.32/12.01.001/2021-22</w:t>
      </w:r>
    </w:p>
    <w:p w14:paraId="0AE9AFE5" w14:textId="77777777" w:rsidR="00F56881" w:rsidRPr="005373C0" w:rsidRDefault="00F56881" w:rsidP="00F56881">
      <w:r w:rsidRPr="005373C0">
        <w:t>July 20, 2021</w:t>
      </w:r>
    </w:p>
    <w:p w14:paraId="420D8E73" w14:textId="77777777" w:rsidR="00F56881" w:rsidRPr="005373C0" w:rsidRDefault="00F56881" w:rsidP="00F56881">
      <w:pPr>
        <w:rPr>
          <w:b/>
          <w:bCs/>
        </w:rPr>
      </w:pPr>
      <w:r w:rsidRPr="005373C0">
        <w:rPr>
          <w:b/>
          <w:bCs/>
        </w:rPr>
        <w:t>Master Direction - Reserve Bank of India</w:t>
      </w:r>
      <w:r w:rsidRPr="005373C0">
        <w:rPr>
          <w:b/>
          <w:bCs/>
        </w:rPr>
        <w:br/>
        <w:t>[Cash Reserve Ratio (CRR) and Statutory Liquidity Ratio (SLR)] Directions - 2021</w:t>
      </w:r>
    </w:p>
    <w:p w14:paraId="1D1EBCB4" w14:textId="77777777" w:rsidR="00F56881" w:rsidRDefault="00F56881" w:rsidP="00F56881">
      <w:r w:rsidRPr="005373C0">
        <w:t>In exercise of the powers conferred by Section 35 A of the Banking Regulation Act, 1949 and pursuant to Section 42 of the Reserve Bank of India Act, 1934 and Sections 18, 24 and 56 of the Banking Regulation Act, 1949 as amended from time to time, the Reserve Bank of India being satisfied that it is necessary and expedient in the public interest so to do, hereby, issues the Directions hereinafter specified.</w:t>
      </w:r>
      <w:r>
        <w:t xml:space="preserve"> </w:t>
      </w:r>
    </w:p>
    <w:p w14:paraId="3F3A0096" w14:textId="77777777" w:rsidR="00F56881" w:rsidRPr="005373C0" w:rsidRDefault="00F56881" w:rsidP="00F56881">
      <w:r>
        <w:t>The direction details on the following:</w:t>
      </w:r>
    </w:p>
    <w:p w14:paraId="2F354100" w14:textId="77777777" w:rsidR="00F56881" w:rsidRPr="005373C0" w:rsidRDefault="00F56881" w:rsidP="00F56881">
      <w:pPr>
        <w:rPr>
          <w:b/>
          <w:bCs/>
        </w:rPr>
      </w:pPr>
      <w:r w:rsidRPr="005373C0">
        <w:rPr>
          <w:b/>
          <w:bCs/>
        </w:rPr>
        <w:t>CHAPTER – I</w:t>
      </w:r>
      <w:r>
        <w:rPr>
          <w:b/>
          <w:bCs/>
        </w:rPr>
        <w:t xml:space="preserve"> - </w:t>
      </w:r>
      <w:r w:rsidRPr="005373C0">
        <w:rPr>
          <w:b/>
          <w:bCs/>
        </w:rPr>
        <w:t>PRELIMINARY</w:t>
      </w:r>
    </w:p>
    <w:p w14:paraId="290B73EB" w14:textId="77777777" w:rsidR="00F56881" w:rsidRPr="005373C0" w:rsidRDefault="00F56881" w:rsidP="00F56881">
      <w:pPr>
        <w:rPr>
          <w:b/>
          <w:bCs/>
        </w:rPr>
      </w:pPr>
      <w:r w:rsidRPr="005373C0">
        <w:rPr>
          <w:b/>
          <w:bCs/>
        </w:rPr>
        <w:t>CHAPTER – II</w:t>
      </w:r>
      <w:r>
        <w:rPr>
          <w:b/>
          <w:bCs/>
        </w:rPr>
        <w:t xml:space="preserve"> - </w:t>
      </w:r>
      <w:r w:rsidRPr="005373C0">
        <w:rPr>
          <w:b/>
          <w:bCs/>
        </w:rPr>
        <w:t>APPLICABILITY</w:t>
      </w:r>
    </w:p>
    <w:p w14:paraId="376ACCD2" w14:textId="77777777" w:rsidR="00F56881" w:rsidRPr="005373C0" w:rsidRDefault="00F56881" w:rsidP="00F56881">
      <w:pPr>
        <w:rPr>
          <w:b/>
          <w:bCs/>
        </w:rPr>
      </w:pPr>
      <w:r w:rsidRPr="005373C0">
        <w:rPr>
          <w:b/>
          <w:bCs/>
        </w:rPr>
        <w:t xml:space="preserve">CHAPTER </w:t>
      </w:r>
      <w:r>
        <w:rPr>
          <w:b/>
          <w:bCs/>
        </w:rPr>
        <w:t>–</w:t>
      </w:r>
      <w:r w:rsidRPr="005373C0">
        <w:rPr>
          <w:b/>
          <w:bCs/>
        </w:rPr>
        <w:t xml:space="preserve"> III</w:t>
      </w:r>
      <w:r>
        <w:rPr>
          <w:b/>
          <w:bCs/>
        </w:rPr>
        <w:t xml:space="preserve"> - </w:t>
      </w:r>
      <w:r w:rsidRPr="005373C0">
        <w:rPr>
          <w:b/>
          <w:bCs/>
        </w:rPr>
        <w:t>DEFINITIONS</w:t>
      </w:r>
    </w:p>
    <w:p w14:paraId="174074F3" w14:textId="77777777" w:rsidR="00F56881" w:rsidRPr="005373C0" w:rsidRDefault="00F56881" w:rsidP="00F56881">
      <w:pPr>
        <w:rPr>
          <w:b/>
          <w:bCs/>
        </w:rPr>
      </w:pPr>
      <w:r w:rsidRPr="005373C0">
        <w:rPr>
          <w:b/>
          <w:bCs/>
        </w:rPr>
        <w:t>CHAPTER – IV</w:t>
      </w:r>
      <w:r>
        <w:rPr>
          <w:b/>
          <w:bCs/>
        </w:rPr>
        <w:t xml:space="preserve"> - </w:t>
      </w:r>
      <w:r w:rsidRPr="005373C0">
        <w:rPr>
          <w:b/>
          <w:bCs/>
        </w:rPr>
        <w:t>CASH RESERVE RATIO (CRR)</w:t>
      </w:r>
    </w:p>
    <w:p w14:paraId="1ED34DE5" w14:textId="77777777" w:rsidR="00F56881" w:rsidRPr="005373C0" w:rsidRDefault="00F56881" w:rsidP="00F56881">
      <w:pPr>
        <w:rPr>
          <w:b/>
          <w:bCs/>
        </w:rPr>
      </w:pPr>
      <w:r w:rsidRPr="005373C0">
        <w:rPr>
          <w:b/>
          <w:bCs/>
        </w:rPr>
        <w:t>CHAPTER – V</w:t>
      </w:r>
      <w:r>
        <w:rPr>
          <w:b/>
          <w:bCs/>
        </w:rPr>
        <w:t xml:space="preserve"> - </w:t>
      </w:r>
      <w:r w:rsidRPr="005373C0">
        <w:rPr>
          <w:b/>
          <w:bCs/>
        </w:rPr>
        <w:t>STATUTORY LIQUIDITY RATIO (SLR)</w:t>
      </w:r>
    </w:p>
    <w:p w14:paraId="2B6005D6" w14:textId="77777777" w:rsidR="00F56881" w:rsidRPr="005373C0" w:rsidRDefault="00F56881" w:rsidP="00F56881">
      <w:pPr>
        <w:rPr>
          <w:b/>
          <w:bCs/>
        </w:rPr>
      </w:pPr>
      <w:r w:rsidRPr="005373C0">
        <w:rPr>
          <w:b/>
          <w:bCs/>
        </w:rPr>
        <w:t>CHAPTER – VI</w:t>
      </w:r>
      <w:r>
        <w:rPr>
          <w:b/>
          <w:bCs/>
        </w:rPr>
        <w:t xml:space="preserve"> - </w:t>
      </w:r>
      <w:r w:rsidRPr="005373C0">
        <w:rPr>
          <w:b/>
          <w:bCs/>
        </w:rPr>
        <w:t>PROCEDURE FOR COMPUTATION OF SLR</w:t>
      </w:r>
    </w:p>
    <w:p w14:paraId="1DCCACB3" w14:textId="77777777" w:rsidR="00F56881" w:rsidRPr="005373C0" w:rsidRDefault="00F56881" w:rsidP="00F56881">
      <w:pPr>
        <w:rPr>
          <w:b/>
          <w:bCs/>
        </w:rPr>
      </w:pPr>
      <w:r w:rsidRPr="005373C0">
        <w:rPr>
          <w:b/>
          <w:bCs/>
        </w:rPr>
        <w:t>CHAPTER – VII REPORTING</w:t>
      </w:r>
      <w:r>
        <w:rPr>
          <w:b/>
          <w:bCs/>
        </w:rPr>
        <w:t xml:space="preserve"> - </w:t>
      </w:r>
      <w:r w:rsidRPr="005373C0">
        <w:rPr>
          <w:b/>
          <w:bCs/>
        </w:rPr>
        <w:t>FORTNIGHTLY CRR RETURN IN FORM A / FORM B/ FORM I</w:t>
      </w:r>
    </w:p>
    <w:p w14:paraId="500A0D38" w14:textId="77777777" w:rsidR="00F56881" w:rsidRPr="005373C0" w:rsidRDefault="00F56881" w:rsidP="00F56881">
      <w:pPr>
        <w:rPr>
          <w:b/>
          <w:bCs/>
        </w:rPr>
      </w:pPr>
      <w:r w:rsidRPr="005373C0">
        <w:rPr>
          <w:b/>
          <w:bCs/>
        </w:rPr>
        <w:t>CHAPTER – VIII</w:t>
      </w:r>
      <w:r>
        <w:rPr>
          <w:b/>
          <w:bCs/>
        </w:rPr>
        <w:t xml:space="preserve"> - </w:t>
      </w:r>
      <w:r w:rsidRPr="005373C0">
        <w:rPr>
          <w:b/>
          <w:bCs/>
        </w:rPr>
        <w:t>PENALTIES</w:t>
      </w:r>
    </w:p>
    <w:p w14:paraId="2CA9EE0B" w14:textId="77777777" w:rsidR="00F56881" w:rsidRPr="005373C0" w:rsidRDefault="00F56881" w:rsidP="00F56881">
      <w:pPr>
        <w:rPr>
          <w:b/>
          <w:bCs/>
        </w:rPr>
      </w:pPr>
      <w:r w:rsidRPr="005373C0">
        <w:rPr>
          <w:b/>
          <w:bCs/>
        </w:rPr>
        <w:t>CHAPTER – IX</w:t>
      </w:r>
      <w:r>
        <w:rPr>
          <w:b/>
          <w:bCs/>
        </w:rPr>
        <w:t xml:space="preserve"> - </w:t>
      </w:r>
      <w:r w:rsidRPr="005373C0">
        <w:rPr>
          <w:b/>
          <w:bCs/>
        </w:rPr>
        <w:t>REPEAL AND OTHER PROVISIONS</w:t>
      </w:r>
    </w:p>
    <w:p w14:paraId="0E1DE787" w14:textId="77777777" w:rsidR="00F56881" w:rsidRDefault="00F56881" w:rsidP="00F56881"/>
    <w:p w14:paraId="2C47DD1E" w14:textId="77777777" w:rsidR="00F56881" w:rsidRDefault="00F56881" w:rsidP="00F56881">
      <w:r>
        <w:t>Details under each of the above chapters can be read from the below link</w:t>
      </w:r>
    </w:p>
    <w:p w14:paraId="5BFA8EC7" w14:textId="77777777" w:rsidR="00F56881" w:rsidRDefault="00F56881" w:rsidP="00F56881">
      <w:r>
        <w:t xml:space="preserve">Reference link: </w:t>
      </w:r>
      <w:hyperlink r:id="rId7" w:history="1">
        <w:r w:rsidRPr="00D972C1">
          <w:rPr>
            <w:rStyle w:val="Hyperlink"/>
          </w:rPr>
          <w:t>https://www.rbi.org.in/Scripts/NotificationUser.aspx?Id=12131&amp;Mode=0</w:t>
        </w:r>
      </w:hyperlink>
    </w:p>
    <w:p w14:paraId="3644620D" w14:textId="77777777" w:rsidR="00F56881" w:rsidRDefault="00F56881" w:rsidP="00F56881"/>
    <w:p w14:paraId="1D06361E" w14:textId="77777777" w:rsidR="00F56881" w:rsidRPr="00F56881" w:rsidRDefault="00F56881" w:rsidP="00F56881"/>
    <w:sectPr w:rsidR="00F56881" w:rsidRPr="00F56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81"/>
    <w:rsid w:val="009975ED"/>
    <w:rsid w:val="00A24F61"/>
    <w:rsid w:val="00F568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EBEA"/>
  <w15:chartTrackingRefBased/>
  <w15:docId w15:val="{B8AB5518-4CD2-4A55-92B1-83B47424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8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881"/>
    <w:rPr>
      <w:color w:val="0563C1" w:themeColor="hyperlink"/>
      <w:u w:val="single"/>
    </w:rPr>
  </w:style>
  <w:style w:type="table" w:styleId="TableGrid">
    <w:name w:val="Table Grid"/>
    <w:basedOn w:val="TableNormal"/>
    <w:uiPriority w:val="39"/>
    <w:rsid w:val="00A2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bi.org.in/Scripts/NotificationUser.aspx?Id=12131&amp;Mod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bi.org.in/Scripts/NotificationUser.aspx?Id=12142&amp;Mode=0" TargetMode="External"/><Relationship Id="rId5" Type="http://schemas.openxmlformats.org/officeDocument/2006/relationships/hyperlink" Target="https://rbi.org.in/Scripts/BS_PressReleaseDisplay.aspx?prid=52010" TargetMode="External"/><Relationship Id="rId4" Type="http://schemas.openxmlformats.org/officeDocument/2006/relationships/hyperlink" Target="https://www.rbi.org.in/Scripts/NotificationUser.aspx?Id=12021&amp;Mode=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2022-02-01T14:47:00Z</dcterms:created>
  <dcterms:modified xsi:type="dcterms:W3CDTF">2022-02-08T09:48:00Z</dcterms:modified>
</cp:coreProperties>
</file>